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D7" w:rsidRPr="00EE1920" w:rsidRDefault="00CE1ED7" w:rsidP="00CE1ED7">
      <w:pPr>
        <w:suppressAutoHyphens/>
        <w:jc w:val="center"/>
        <w:rPr>
          <w:rFonts w:ascii="Arial" w:hAnsi="Arial" w:cs="Arial"/>
          <w:b/>
          <w:sz w:val="28"/>
          <w:szCs w:val="28"/>
        </w:rPr>
      </w:pPr>
      <w:r>
        <w:rPr>
          <w:rFonts w:ascii="Arial" w:hAnsi="Arial" w:cs="Arial"/>
          <w:b/>
          <w:sz w:val="28"/>
          <w:szCs w:val="28"/>
        </w:rPr>
        <w:t>TERMS OF REFERENCE</w:t>
      </w:r>
      <w:r w:rsidRPr="00EE1920">
        <w:rPr>
          <w:rFonts w:ascii="Arial" w:hAnsi="Arial" w:cs="Arial"/>
          <w:b/>
          <w:sz w:val="28"/>
          <w:szCs w:val="28"/>
        </w:rPr>
        <w:t xml:space="preserve"> FOR </w:t>
      </w:r>
      <w:r>
        <w:rPr>
          <w:rFonts w:ascii="Arial" w:hAnsi="Arial" w:cs="Arial"/>
          <w:b/>
          <w:sz w:val="28"/>
          <w:szCs w:val="28"/>
        </w:rPr>
        <w:t>INDIVIDUAL CONSULTANT</w:t>
      </w:r>
    </w:p>
    <w:p w:rsidR="00CE1ED7" w:rsidRDefault="00CE1ED7" w:rsidP="00CE1ED7">
      <w:pPr>
        <w:suppressAutoHyphens/>
        <w:jc w:val="center"/>
        <w:rPr>
          <w:rFonts w:ascii="Arial" w:hAnsi="Arial" w:cs="Arial"/>
          <w:b/>
          <w:sz w:val="16"/>
          <w:szCs w:val="16"/>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CE1ED7" w:rsidRPr="00F8768F" w:rsidTr="00802957">
        <w:tblPrEx>
          <w:tblCellMar>
            <w:top w:w="0" w:type="dxa"/>
            <w:bottom w:w="0" w:type="dxa"/>
          </w:tblCellMar>
        </w:tblPrEx>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CE1ED7" w:rsidRPr="00B20452" w:rsidRDefault="00CE1ED7" w:rsidP="00802957">
            <w:pPr>
              <w:tabs>
                <w:tab w:val="left" w:pos="-720"/>
              </w:tabs>
              <w:suppressAutoHyphens/>
              <w:spacing w:before="109" w:after="54"/>
              <w:rPr>
                <w:rFonts w:ascii="Arial" w:hAnsi="Arial" w:cs="Arial"/>
                <w:b/>
              </w:rPr>
            </w:pPr>
            <w:r w:rsidRPr="00B20452">
              <w:rPr>
                <w:rFonts w:ascii="Arial" w:hAnsi="Arial" w:cs="Arial"/>
                <w:b/>
              </w:rPr>
              <w:t xml:space="preserve">TERMS OF </w:t>
            </w:r>
            <w:proofErr w:type="gramStart"/>
            <w:r w:rsidRPr="00B20452">
              <w:rPr>
                <w:rFonts w:ascii="Arial" w:hAnsi="Arial" w:cs="Arial"/>
                <w:b/>
              </w:rPr>
              <w:t xml:space="preserve">REFERENCE  </w:t>
            </w:r>
            <w:proofErr w:type="gramEnd"/>
          </w:p>
        </w:tc>
      </w:tr>
      <w:tr w:rsidR="00CE1ED7" w:rsidRPr="00185E15" w:rsidTr="00802957">
        <w:tblPrEx>
          <w:tblCellMar>
            <w:top w:w="0" w:type="dxa"/>
            <w:left w:w="148" w:type="dxa"/>
            <w:bottom w:w="0" w:type="dxa"/>
            <w:right w:w="148" w:type="dxa"/>
          </w:tblCellMar>
        </w:tblPrEx>
        <w:trPr>
          <w:trHeight w:val="724"/>
        </w:trPr>
        <w:tc>
          <w:tcPr>
            <w:tcW w:w="2730" w:type="dxa"/>
            <w:tcBorders>
              <w:top w:val="single" w:sz="6" w:space="0" w:color="auto"/>
              <w:left w:val="double" w:sz="6" w:space="0" w:color="auto"/>
              <w:bottom w:val="single" w:sz="4" w:space="0" w:color="auto"/>
            </w:tcBorders>
            <w:shd w:val="clear" w:color="auto" w:fill="auto"/>
          </w:tcPr>
          <w:p w:rsidR="00CE1ED7" w:rsidRPr="00653539"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Hiring Office</w:t>
            </w:r>
            <w:r w:rsidRPr="00F8768F">
              <w:rPr>
                <w:rFonts w:ascii="Arial" w:hAnsi="Arial" w:cs="Arial"/>
                <w:sz w:val="18"/>
                <w:szCs w:val="18"/>
              </w:rPr>
              <w:t>:</w:t>
            </w:r>
          </w:p>
        </w:tc>
        <w:tc>
          <w:tcPr>
            <w:tcW w:w="7710" w:type="dxa"/>
            <w:tcBorders>
              <w:top w:val="single" w:sz="6" w:space="0" w:color="auto"/>
              <w:left w:val="single" w:sz="6" w:space="0" w:color="auto"/>
              <w:bottom w:val="single" w:sz="4" w:space="0" w:color="auto"/>
              <w:right w:val="double" w:sz="6" w:space="0" w:color="auto"/>
            </w:tcBorders>
            <w:shd w:val="clear" w:color="auto" w:fill="auto"/>
            <w:vAlign w:val="center"/>
          </w:tcPr>
          <w:p w:rsidR="00CE1ED7" w:rsidRPr="00B20452" w:rsidRDefault="00CE1ED7" w:rsidP="00802957">
            <w:pPr>
              <w:tabs>
                <w:tab w:val="left" w:pos="-720"/>
              </w:tabs>
              <w:suppressAutoHyphens/>
              <w:spacing w:before="40" w:after="54" w:line="276" w:lineRule="auto"/>
              <w:rPr>
                <w:lang w:val="fr-FR"/>
              </w:rPr>
            </w:pPr>
            <w:r w:rsidRPr="00B20452">
              <w:rPr>
                <w:lang w:val="fr-FR"/>
              </w:rPr>
              <w:t>Bureau de la Représentation du Fonds des Nations Unies pour la Population en République du Congo</w:t>
            </w:r>
          </w:p>
        </w:tc>
      </w:tr>
      <w:tr w:rsidR="00CE1ED7" w:rsidRPr="00185E15" w:rsidTr="00802957">
        <w:tblPrEx>
          <w:tblCellMar>
            <w:top w:w="0" w:type="dxa"/>
            <w:left w:w="148" w:type="dxa"/>
            <w:bottom w:w="0" w:type="dxa"/>
            <w:right w:w="148" w:type="dxa"/>
          </w:tblCellMar>
        </w:tblPrEx>
        <w:trPr>
          <w:trHeight w:val="1687"/>
        </w:trPr>
        <w:tc>
          <w:tcPr>
            <w:tcW w:w="2730" w:type="dxa"/>
            <w:tcBorders>
              <w:top w:val="single" w:sz="6" w:space="0" w:color="auto"/>
              <w:left w:val="double" w:sz="6" w:space="0" w:color="auto"/>
              <w:bottom w:val="single" w:sz="6" w:space="0" w:color="auto"/>
            </w:tcBorders>
            <w:shd w:val="clear" w:color="auto" w:fill="auto"/>
          </w:tcPr>
          <w:p w:rsidR="00CE1ED7" w:rsidRPr="00653539"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Purpose of consultancy</w:t>
            </w:r>
            <w:r w:rsidRPr="00F8768F">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rsidR="00CE1ED7" w:rsidRPr="00B20452" w:rsidRDefault="00CE1ED7" w:rsidP="00802957">
            <w:pPr>
              <w:spacing w:line="276" w:lineRule="auto"/>
              <w:jc w:val="both"/>
              <w:rPr>
                <w:lang w:val="fr-FR"/>
              </w:rPr>
            </w:pPr>
            <w:r w:rsidRPr="00B20452">
              <w:rPr>
                <w:lang w:val="fr-FR"/>
              </w:rPr>
              <w:t xml:space="preserve">L'objectif de cette consultation est de soutenir </w:t>
            </w:r>
            <w:r w:rsidRPr="00055C75">
              <w:rPr>
                <w:lang w:val="fr-FR"/>
              </w:rPr>
              <w:t xml:space="preserve">le bureau du Pays UNFPA du Congo </w:t>
            </w:r>
            <w:r w:rsidRPr="00B20452">
              <w:rPr>
                <w:lang w:val="fr-FR"/>
              </w:rPr>
              <w:t xml:space="preserve">dans le déploiement de </w:t>
            </w:r>
            <w:r>
              <w:rPr>
                <w:lang w:val="fr-FR"/>
              </w:rPr>
              <w:t>l'évaluation de la préparation du D</w:t>
            </w:r>
            <w:r w:rsidRPr="007A1087">
              <w:rPr>
                <w:lang w:val="fr-FR"/>
              </w:rPr>
              <w:t xml:space="preserve">ispositif </w:t>
            </w:r>
            <w:r>
              <w:rPr>
                <w:lang w:val="fr-FR"/>
              </w:rPr>
              <w:t>M</w:t>
            </w:r>
            <w:r w:rsidRPr="007A1087">
              <w:rPr>
                <w:lang w:val="fr-FR"/>
              </w:rPr>
              <w:t>inimum d’</w:t>
            </w:r>
            <w:r>
              <w:rPr>
                <w:lang w:val="fr-FR"/>
              </w:rPr>
              <w:t>U</w:t>
            </w:r>
            <w:r w:rsidRPr="007A1087">
              <w:rPr>
                <w:lang w:val="fr-FR"/>
              </w:rPr>
              <w:t>rgence (DMU)</w:t>
            </w:r>
            <w:r>
              <w:rPr>
                <w:lang w:val="fr-FR"/>
              </w:rPr>
              <w:t xml:space="preserve"> [MRA</w:t>
            </w:r>
            <w:r w:rsidRPr="007A1087">
              <w:rPr>
                <w:lang w:val="fr-FR"/>
              </w:rPr>
              <w:t xml:space="preserve"> : </w:t>
            </w:r>
            <w:r w:rsidRPr="00055C75">
              <w:rPr>
                <w:lang w:val="fr-FR"/>
              </w:rPr>
              <w:t xml:space="preserve">MISP </w:t>
            </w:r>
            <w:proofErr w:type="spellStart"/>
            <w:r w:rsidRPr="00055C75">
              <w:rPr>
                <w:lang w:val="fr-FR"/>
              </w:rPr>
              <w:t>Readiness</w:t>
            </w:r>
            <w:proofErr w:type="spellEnd"/>
            <w:r w:rsidRPr="00055C75">
              <w:rPr>
                <w:lang w:val="fr-FR"/>
              </w:rPr>
              <w:t xml:space="preserve"> </w:t>
            </w:r>
            <w:proofErr w:type="spellStart"/>
            <w:r w:rsidRPr="00055C75">
              <w:rPr>
                <w:lang w:val="fr-FR"/>
              </w:rPr>
              <w:t>Assessment</w:t>
            </w:r>
            <w:proofErr w:type="spellEnd"/>
            <w:r>
              <w:rPr>
                <w:lang w:val="fr-FR"/>
              </w:rPr>
              <w:t>]</w:t>
            </w:r>
            <w:r w:rsidRPr="00B20452">
              <w:rPr>
                <w:lang w:val="fr-FR"/>
              </w:rPr>
              <w:t xml:space="preserve">. Le consultant sera chargé de coordonner le processus et de collecter les documents nécessaires à la réalisation du MRA en étroite collaboration avec le Ministère des affaires sociales, de la solidarité et de l’Action humanitaire, le Ministère de la Santé et de la Population et les autres ministères et institutions multisectoriels. </w:t>
            </w:r>
          </w:p>
        </w:tc>
      </w:tr>
      <w:tr w:rsidR="00CE1ED7" w:rsidRPr="00185E15" w:rsidTr="00802957">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E1ED7"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Scope of work:</w:t>
            </w:r>
          </w:p>
          <w:p w:rsidR="00CE1ED7" w:rsidRDefault="00CE1ED7" w:rsidP="00802957">
            <w:pPr>
              <w:tabs>
                <w:tab w:val="left" w:pos="-720"/>
              </w:tabs>
              <w:suppressAutoHyphens/>
              <w:spacing w:before="40" w:after="54"/>
              <w:rPr>
                <w:rFonts w:ascii="Arial" w:hAnsi="Arial" w:cs="Arial"/>
                <w:sz w:val="18"/>
                <w:szCs w:val="18"/>
              </w:rPr>
            </w:pPr>
          </w:p>
          <w:p w:rsidR="00CE1ED7" w:rsidRPr="002A21A4" w:rsidRDefault="00CE1ED7" w:rsidP="00802957">
            <w:pPr>
              <w:tabs>
                <w:tab w:val="left" w:pos="-720"/>
              </w:tabs>
              <w:suppressAutoHyphens/>
              <w:spacing w:before="40" w:after="54"/>
              <w:rPr>
                <w:rFonts w:ascii="Arial" w:hAnsi="Arial" w:cs="Arial"/>
                <w:i/>
                <w:sz w:val="18"/>
                <w:szCs w:val="18"/>
              </w:rPr>
            </w:pPr>
            <w:r w:rsidRPr="002A21A4">
              <w:rPr>
                <w:rFonts w:ascii="Arial" w:hAnsi="Arial" w:cs="Arial"/>
                <w:i/>
                <w:sz w:val="18"/>
                <w:szCs w:val="18"/>
              </w:rPr>
              <w:t>(Description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rsidR="00CE1ED7" w:rsidRPr="00B20452" w:rsidRDefault="00CE1ED7" w:rsidP="00CE1ED7">
            <w:pPr>
              <w:pStyle w:val="ListParagraph"/>
              <w:numPr>
                <w:ilvl w:val="0"/>
                <w:numId w:val="1"/>
              </w:numPr>
              <w:spacing w:line="276" w:lineRule="auto"/>
              <w:rPr>
                <w:rFonts w:ascii="Times New Roman" w:hAnsi="Times New Roman" w:cs="Times New Roman"/>
                <w:sz w:val="24"/>
                <w:szCs w:val="24"/>
                <w:lang w:val="fr-FR"/>
              </w:rPr>
            </w:pPr>
            <w:r w:rsidRPr="00B20452">
              <w:rPr>
                <w:rFonts w:ascii="Times New Roman" w:hAnsi="Times New Roman" w:cs="Times New Roman"/>
                <w:sz w:val="24"/>
                <w:szCs w:val="24"/>
                <w:lang w:val="fr-FR"/>
              </w:rPr>
              <w:t xml:space="preserve">Aider le bureau de UNFPA Congo  à identifier et à contacter les partenaires clés à s’impliquer dans le processus du MRA </w:t>
            </w:r>
          </w:p>
          <w:p w:rsidR="00CE1ED7" w:rsidRPr="00B20452" w:rsidRDefault="00CE1ED7" w:rsidP="00CE1ED7">
            <w:pPr>
              <w:pStyle w:val="ListParagraph"/>
              <w:numPr>
                <w:ilvl w:val="0"/>
                <w:numId w:val="1"/>
              </w:numPr>
              <w:spacing w:line="276" w:lineRule="auto"/>
              <w:rPr>
                <w:rFonts w:ascii="Times New Roman" w:hAnsi="Times New Roman" w:cs="Times New Roman"/>
                <w:sz w:val="24"/>
                <w:szCs w:val="24"/>
                <w:lang w:val="fr-FR"/>
              </w:rPr>
            </w:pPr>
            <w:r w:rsidRPr="00B20452">
              <w:rPr>
                <w:rFonts w:ascii="Times New Roman" w:hAnsi="Times New Roman" w:cs="Times New Roman"/>
                <w:sz w:val="24"/>
                <w:szCs w:val="24"/>
                <w:lang w:val="fr-FR"/>
              </w:rPr>
              <w:t>Collecter et préparer les documents d'appui tels que les politiques, les directives, etc. pour la mise en œuvre du Dispositif Minimum d’Urgence.</w:t>
            </w:r>
          </w:p>
          <w:p w:rsidR="00CE1ED7" w:rsidRPr="00B20452" w:rsidRDefault="00CE1ED7" w:rsidP="00CE1ED7">
            <w:pPr>
              <w:pStyle w:val="ListParagraph"/>
              <w:numPr>
                <w:ilvl w:val="0"/>
                <w:numId w:val="1"/>
              </w:numPr>
              <w:spacing w:line="276" w:lineRule="auto"/>
              <w:rPr>
                <w:rFonts w:ascii="Times New Roman" w:hAnsi="Times New Roman" w:cs="Times New Roman"/>
                <w:sz w:val="24"/>
                <w:szCs w:val="24"/>
                <w:lang w:val="fr-FR"/>
              </w:rPr>
            </w:pPr>
            <w:r w:rsidRPr="00B20452">
              <w:rPr>
                <w:rFonts w:ascii="Times New Roman" w:hAnsi="Times New Roman" w:cs="Times New Roman"/>
                <w:sz w:val="24"/>
                <w:szCs w:val="24"/>
                <w:lang w:val="fr-FR"/>
              </w:rPr>
              <w:t>Soutenir le bureau du Congo et les partenaires dans l'organisation et la facilitation de l'atelier MRA ;</w:t>
            </w:r>
          </w:p>
          <w:p w:rsidR="00CE1ED7" w:rsidRPr="00B20452" w:rsidRDefault="00CE1ED7" w:rsidP="00CE1ED7">
            <w:pPr>
              <w:pStyle w:val="ListParagraph"/>
              <w:numPr>
                <w:ilvl w:val="0"/>
                <w:numId w:val="1"/>
              </w:numPr>
              <w:spacing w:line="276" w:lineRule="auto"/>
              <w:jc w:val="both"/>
              <w:rPr>
                <w:rFonts w:ascii="Times New Roman" w:hAnsi="Times New Roman" w:cs="Times New Roman"/>
                <w:sz w:val="24"/>
                <w:szCs w:val="24"/>
                <w:lang w:val="fr-FR"/>
              </w:rPr>
            </w:pPr>
            <w:r w:rsidRPr="00B20452">
              <w:rPr>
                <w:rFonts w:ascii="Times New Roman" w:hAnsi="Times New Roman" w:cs="Times New Roman"/>
                <w:sz w:val="24"/>
                <w:szCs w:val="24"/>
                <w:lang w:val="fr-FR"/>
              </w:rPr>
              <w:t>Compiler les réponses au questionnaire MRA sur la base des contributions des ministères, des organisations de la société civiles, des agences des Nations Unies, des organisations communautaires de base, du secteur privé et des principales parties prenantes ;</w:t>
            </w:r>
          </w:p>
          <w:p w:rsidR="00CE1ED7" w:rsidRPr="00B20452" w:rsidRDefault="00CE1ED7" w:rsidP="00CE1ED7">
            <w:pPr>
              <w:pStyle w:val="ListParagraph"/>
              <w:numPr>
                <w:ilvl w:val="0"/>
                <w:numId w:val="1"/>
              </w:numPr>
              <w:spacing w:line="276" w:lineRule="auto"/>
              <w:rPr>
                <w:rFonts w:ascii="Times New Roman" w:hAnsi="Times New Roman" w:cs="Times New Roman"/>
                <w:sz w:val="24"/>
                <w:szCs w:val="24"/>
                <w:lang w:val="fr-FR"/>
              </w:rPr>
            </w:pPr>
            <w:r w:rsidRPr="00B20452">
              <w:rPr>
                <w:rFonts w:ascii="Times New Roman" w:hAnsi="Times New Roman" w:cs="Times New Roman"/>
                <w:sz w:val="24"/>
                <w:szCs w:val="24"/>
                <w:lang w:val="fr-FR"/>
              </w:rPr>
              <w:t>Rédiger des lettres d'invitation, comprenant une brève description du processus ainsi que les principaux objectifs de l'atelier ;</w:t>
            </w:r>
          </w:p>
          <w:p w:rsidR="00CE1ED7" w:rsidRPr="00B20452" w:rsidRDefault="00CE1ED7" w:rsidP="00CE1ED7">
            <w:pPr>
              <w:pStyle w:val="ListParagraph"/>
              <w:numPr>
                <w:ilvl w:val="0"/>
                <w:numId w:val="1"/>
              </w:numPr>
              <w:spacing w:line="276" w:lineRule="auto"/>
              <w:rPr>
                <w:rFonts w:ascii="Times New Roman" w:hAnsi="Times New Roman" w:cs="Times New Roman"/>
                <w:sz w:val="24"/>
                <w:szCs w:val="24"/>
                <w:lang w:val="fr-FR"/>
              </w:rPr>
            </w:pPr>
            <w:r w:rsidRPr="00B20452">
              <w:rPr>
                <w:rFonts w:ascii="Times New Roman" w:hAnsi="Times New Roman" w:cs="Times New Roman"/>
                <w:sz w:val="24"/>
                <w:szCs w:val="24"/>
                <w:lang w:val="fr-FR"/>
              </w:rPr>
              <w:t>Rédiger un projet de plan d'action de préparation à la Santé Sexuelle et Reproduction (SSR) sur la base des résultats du questionnaire et des discussions avec les partenaires</w:t>
            </w:r>
            <w:r w:rsidRPr="00B20452">
              <w:rPr>
                <w:rFonts w:ascii="Times New Roman" w:hAnsi="Times New Roman" w:cs="Times New Roman"/>
                <w:color w:val="2F5496"/>
                <w:sz w:val="24"/>
                <w:szCs w:val="24"/>
                <w:lang w:val="fr-FR"/>
              </w:rPr>
              <w:t>.</w:t>
            </w:r>
          </w:p>
        </w:tc>
      </w:tr>
      <w:tr w:rsidR="00CE1ED7" w:rsidRPr="00185E15" w:rsidTr="00802957">
        <w:tblPrEx>
          <w:tblCellMar>
            <w:top w:w="0" w:type="dxa"/>
            <w:left w:w="148" w:type="dxa"/>
            <w:bottom w:w="0" w:type="dxa"/>
            <w:right w:w="148" w:type="dxa"/>
          </w:tblCellMar>
        </w:tblPrEx>
        <w:trPr>
          <w:trHeight w:val="1250"/>
        </w:trPr>
        <w:tc>
          <w:tcPr>
            <w:tcW w:w="2730" w:type="dxa"/>
            <w:tcBorders>
              <w:top w:val="single" w:sz="6" w:space="0" w:color="auto"/>
              <w:left w:val="double" w:sz="6" w:space="0" w:color="auto"/>
              <w:bottom w:val="single" w:sz="6" w:space="0" w:color="auto"/>
            </w:tcBorders>
            <w:shd w:val="clear" w:color="auto" w:fill="auto"/>
          </w:tcPr>
          <w:p w:rsidR="00CE1ED7" w:rsidRPr="00653539"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Duration and working schedule:</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rsidR="00CE1ED7" w:rsidRPr="00B20452" w:rsidRDefault="00CE1ED7" w:rsidP="00802957">
            <w:pPr>
              <w:spacing w:line="276" w:lineRule="auto"/>
              <w:jc w:val="both"/>
              <w:rPr>
                <w:lang w:val="fr-FR"/>
              </w:rPr>
            </w:pPr>
            <w:r w:rsidRPr="00B20452">
              <w:rPr>
                <w:lang w:val="fr-FR"/>
              </w:rPr>
              <w:t>La durée de la mission est de 2 mois à compter de la date de recrutement et de prise des fonctions. Le dépassement du délai de trois (3) jours supplémentaires pour de besoins d’achèvement des livrables n’impliquera pas de coûts supplémentaires pour UNFPA.</w:t>
            </w:r>
          </w:p>
        </w:tc>
      </w:tr>
      <w:tr w:rsidR="00CE1ED7" w:rsidRPr="00185E15" w:rsidTr="00802957">
        <w:tblPrEx>
          <w:tblCellMar>
            <w:top w:w="0" w:type="dxa"/>
            <w:left w:w="148" w:type="dxa"/>
            <w:bottom w:w="0" w:type="dxa"/>
            <w:right w:w="148" w:type="dxa"/>
          </w:tblCellMar>
        </w:tblPrEx>
        <w:trPr>
          <w:trHeight w:val="687"/>
        </w:trPr>
        <w:tc>
          <w:tcPr>
            <w:tcW w:w="2730" w:type="dxa"/>
            <w:tcBorders>
              <w:top w:val="single" w:sz="6" w:space="0" w:color="auto"/>
              <w:left w:val="double" w:sz="6" w:space="0" w:color="auto"/>
              <w:bottom w:val="single" w:sz="6" w:space="0" w:color="auto"/>
            </w:tcBorders>
            <w:shd w:val="clear" w:color="auto" w:fill="auto"/>
          </w:tcPr>
          <w:p w:rsidR="00CE1ED7"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rsidR="00CE1ED7" w:rsidRPr="00B20452" w:rsidRDefault="00CE1ED7" w:rsidP="00802957">
            <w:pPr>
              <w:tabs>
                <w:tab w:val="left" w:pos="-720"/>
              </w:tabs>
              <w:spacing w:before="40" w:after="54"/>
              <w:rPr>
                <w:lang w:val="fr-FR"/>
              </w:rPr>
            </w:pPr>
            <w:proofErr w:type="gramStart"/>
            <w:r w:rsidRPr="00B20452">
              <w:rPr>
                <w:lang w:val="fr-FR"/>
              </w:rPr>
              <w:t>Brazzaville ,</w:t>
            </w:r>
            <w:proofErr w:type="gramEnd"/>
            <w:r w:rsidRPr="00B20452">
              <w:rPr>
                <w:lang w:val="fr-FR"/>
              </w:rPr>
              <w:t xml:space="preserve"> et des déplacements possibles à l’intérieur du pays, selon une programmation définie avec UNFPA</w:t>
            </w:r>
          </w:p>
        </w:tc>
      </w:tr>
      <w:tr w:rsidR="00CE1ED7" w:rsidRPr="00185E15" w:rsidTr="00802957">
        <w:tblPrEx>
          <w:tblCellMar>
            <w:top w:w="0" w:type="dxa"/>
            <w:left w:w="148" w:type="dxa"/>
            <w:bottom w:w="0" w:type="dxa"/>
            <w:right w:w="148" w:type="dxa"/>
          </w:tblCellMar>
        </w:tblPrEx>
        <w:trPr>
          <w:trHeight w:val="1973"/>
        </w:trPr>
        <w:tc>
          <w:tcPr>
            <w:tcW w:w="2730" w:type="dxa"/>
            <w:tcBorders>
              <w:top w:val="single" w:sz="6" w:space="0" w:color="auto"/>
              <w:left w:val="double" w:sz="6" w:space="0" w:color="auto"/>
              <w:bottom w:val="single" w:sz="6" w:space="0" w:color="auto"/>
            </w:tcBorders>
            <w:shd w:val="clear" w:color="auto" w:fill="auto"/>
          </w:tcPr>
          <w:p w:rsidR="00CE1ED7" w:rsidRPr="00C86B68" w:rsidRDefault="00CE1ED7" w:rsidP="00802957">
            <w:pPr>
              <w:tabs>
                <w:tab w:val="left" w:pos="-720"/>
              </w:tabs>
              <w:suppressAutoHyphens/>
              <w:spacing w:before="40" w:after="54"/>
              <w:rPr>
                <w:rFonts w:ascii="Arial" w:hAnsi="Arial" w:cs="Arial"/>
                <w:sz w:val="18"/>
                <w:szCs w:val="18"/>
              </w:rPr>
            </w:pPr>
            <w:r w:rsidRPr="00C86B68">
              <w:rPr>
                <w:rFonts w:ascii="Arial" w:hAnsi="Arial" w:cs="Arial"/>
                <w:sz w:val="18"/>
                <w:szCs w:val="18"/>
              </w:rPr>
              <w:t>Delivery dates and how work will be delivered (</w:t>
            </w:r>
            <w:r w:rsidRPr="00C86B68">
              <w:rPr>
                <w:rFonts w:ascii="Arial" w:hAnsi="Arial" w:cs="Arial"/>
                <w:i/>
                <w:sz w:val="18"/>
                <w:szCs w:val="18"/>
              </w:rPr>
              <w:t>e.g.</w:t>
            </w:r>
            <w:r w:rsidRPr="00C86B68">
              <w:rPr>
                <w:rFonts w:ascii="Arial" w:hAnsi="Arial" w:cs="Arial"/>
                <w:sz w:val="18"/>
                <w:szCs w:val="18"/>
              </w:rPr>
              <w:t xml:space="preserve"> electronic, hard copy etc.)</w:t>
            </w:r>
            <w:r>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rsidR="00CE1ED7" w:rsidRPr="00B20452" w:rsidRDefault="00CE1ED7" w:rsidP="00802957">
            <w:pPr>
              <w:pStyle w:val="ListParagraph"/>
              <w:tabs>
                <w:tab w:val="left" w:pos="-720"/>
              </w:tabs>
              <w:suppressAutoHyphens/>
              <w:spacing w:before="40" w:after="54"/>
              <w:ind w:left="0"/>
              <w:rPr>
                <w:rFonts w:ascii="Times New Roman" w:hAnsi="Times New Roman" w:cs="Times New Roman"/>
                <w:sz w:val="24"/>
                <w:szCs w:val="24"/>
                <w:lang w:val="fr-FR"/>
              </w:rPr>
            </w:pPr>
            <w:r w:rsidRPr="00B20452">
              <w:rPr>
                <w:rFonts w:ascii="Times New Roman" w:hAnsi="Times New Roman" w:cs="Times New Roman"/>
                <w:sz w:val="24"/>
                <w:szCs w:val="24"/>
                <w:lang w:val="fr-FR"/>
              </w:rPr>
              <w:t>Les rapports sont exigibles à la fin de chaque mois et au plus tard la première semaine du mois suivant</w:t>
            </w:r>
          </w:p>
          <w:p w:rsidR="00CE1ED7" w:rsidRPr="00B20452" w:rsidRDefault="00CE1ED7" w:rsidP="00802957">
            <w:pPr>
              <w:pStyle w:val="ListParagraph"/>
              <w:tabs>
                <w:tab w:val="left" w:pos="-720"/>
              </w:tabs>
              <w:suppressAutoHyphens/>
              <w:spacing w:before="40" w:after="54"/>
              <w:ind w:left="0"/>
              <w:rPr>
                <w:rFonts w:ascii="Times New Roman" w:hAnsi="Times New Roman" w:cs="Times New Roman"/>
                <w:sz w:val="24"/>
                <w:szCs w:val="24"/>
                <w:lang w:val="fr-FR"/>
              </w:rPr>
            </w:pPr>
            <w:r w:rsidRPr="00B20452">
              <w:rPr>
                <w:rFonts w:ascii="Times New Roman" w:hAnsi="Times New Roman" w:cs="Times New Roman"/>
                <w:sz w:val="24"/>
                <w:szCs w:val="24"/>
                <w:lang w:val="fr-FR"/>
              </w:rPr>
              <w:t>Une présentation Powerpoint pour l’atelier, sera transmise à UNFPA avant la tenue de l’atelier</w:t>
            </w:r>
          </w:p>
          <w:p w:rsidR="00CE1ED7" w:rsidRPr="00B20452" w:rsidRDefault="00CE1ED7" w:rsidP="00802957">
            <w:pPr>
              <w:pStyle w:val="ListParagraph"/>
              <w:tabs>
                <w:tab w:val="left" w:pos="-720"/>
              </w:tabs>
              <w:suppressAutoHyphens/>
              <w:spacing w:before="40" w:after="54"/>
              <w:ind w:left="0"/>
              <w:rPr>
                <w:rFonts w:ascii="Times New Roman" w:hAnsi="Times New Roman" w:cs="Times New Roman"/>
                <w:sz w:val="24"/>
                <w:szCs w:val="24"/>
                <w:lang w:val="fr-FR"/>
              </w:rPr>
            </w:pPr>
            <w:r w:rsidRPr="00B20452">
              <w:rPr>
                <w:rFonts w:ascii="Times New Roman" w:hAnsi="Times New Roman" w:cs="Times New Roman"/>
                <w:sz w:val="24"/>
                <w:szCs w:val="24"/>
                <w:lang w:val="fr-FR"/>
              </w:rPr>
              <w:t>Tous les rapports à soumettre à UNFPA, y compris la présentation Powerpoint, seront en format papier, et en version électronique.</w:t>
            </w:r>
          </w:p>
        </w:tc>
      </w:tr>
      <w:tr w:rsidR="00CE1ED7" w:rsidRPr="00185E15" w:rsidTr="00802957">
        <w:tblPrEx>
          <w:tblCellMar>
            <w:top w:w="0" w:type="dxa"/>
            <w:left w:w="148" w:type="dxa"/>
            <w:bottom w:w="0" w:type="dxa"/>
            <w:right w:w="148" w:type="dxa"/>
          </w:tblCellMar>
        </w:tblPrEx>
        <w:trPr>
          <w:trHeight w:val="1409"/>
        </w:trPr>
        <w:tc>
          <w:tcPr>
            <w:tcW w:w="2730" w:type="dxa"/>
            <w:tcBorders>
              <w:top w:val="single" w:sz="6" w:space="0" w:color="auto"/>
              <w:left w:val="double" w:sz="6" w:space="0" w:color="auto"/>
              <w:bottom w:val="single" w:sz="6" w:space="0" w:color="auto"/>
            </w:tcBorders>
            <w:shd w:val="clear" w:color="auto" w:fill="auto"/>
          </w:tcPr>
          <w:p w:rsidR="00CE1ED7"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lastRenderedPageBreak/>
              <w:t>Monitoring and progress control, including reporting requirements, periodicity format and deadline: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Liste des documents sur les politiques, les directives et autres documents de référence sur le sujet de la consultation</w:t>
            </w:r>
          </w:p>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Ordre du jour de l'atelier et plan de facilitation</w:t>
            </w:r>
          </w:p>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Liste des partenaires clés</w:t>
            </w:r>
          </w:p>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Tableau des activités prioritaires (P1 et P2) et leur justification</w:t>
            </w:r>
          </w:p>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Questionnaire MRA et plan d'action finalisés</w:t>
            </w:r>
          </w:p>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Une présentation Powerpoint pour l’atelier</w:t>
            </w:r>
          </w:p>
          <w:p w:rsidR="00CE1ED7" w:rsidRPr="00B20452" w:rsidRDefault="00CE1ED7" w:rsidP="00CE1ED7">
            <w:pPr>
              <w:pStyle w:val="ListParagraph"/>
              <w:numPr>
                <w:ilvl w:val="0"/>
                <w:numId w:val="6"/>
              </w:numPr>
              <w:spacing w:after="0"/>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Bref rapport de synthèse sur le processus incluant :</w:t>
            </w:r>
          </w:p>
          <w:p w:rsidR="00CE1ED7" w:rsidRPr="00B20452" w:rsidRDefault="00CE1ED7" w:rsidP="00CE1ED7">
            <w:pPr>
              <w:numPr>
                <w:ilvl w:val="0"/>
                <w:numId w:val="6"/>
              </w:numPr>
              <w:tabs>
                <w:tab w:val="left" w:pos="-720"/>
              </w:tabs>
              <w:suppressAutoHyphens/>
              <w:spacing w:before="40" w:after="54"/>
              <w:rPr>
                <w:lang w:val="fr-FR"/>
              </w:rPr>
            </w:pPr>
            <w:r w:rsidRPr="00B20452">
              <w:rPr>
                <w:lang w:val="fr-FR"/>
              </w:rPr>
              <w:t>Un rapport mensuel, soit deux au total pour toute la durée de la consultation,</w:t>
            </w:r>
          </w:p>
          <w:p w:rsidR="00CE1ED7" w:rsidRPr="00B20452" w:rsidRDefault="00CE1ED7" w:rsidP="00CE1ED7">
            <w:pPr>
              <w:numPr>
                <w:ilvl w:val="0"/>
                <w:numId w:val="6"/>
              </w:numPr>
              <w:tabs>
                <w:tab w:val="left" w:pos="-720"/>
              </w:tabs>
              <w:suppressAutoHyphens/>
              <w:spacing w:before="40" w:after="54"/>
              <w:rPr>
                <w:lang w:val="fr-FR"/>
              </w:rPr>
            </w:pPr>
            <w:r w:rsidRPr="00B20452">
              <w:rPr>
                <w:lang w:val="fr-FR"/>
              </w:rPr>
              <w:t>Un rapport de fin de consultation devra être fait à l’issue de l’atelier MRA, incluant :</w:t>
            </w:r>
          </w:p>
          <w:p w:rsidR="00CE1ED7" w:rsidRPr="00B20452" w:rsidRDefault="00CE1ED7" w:rsidP="00CE1ED7">
            <w:pPr>
              <w:pStyle w:val="ListParagraph"/>
              <w:numPr>
                <w:ilvl w:val="0"/>
                <w:numId w:val="2"/>
              </w:numPr>
              <w:spacing w:after="0"/>
              <w:ind w:left="1148"/>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Les commentaires sur l’outil révisé</w:t>
            </w:r>
          </w:p>
          <w:p w:rsidR="00CE1ED7" w:rsidRPr="00B20452" w:rsidRDefault="00CE1ED7" w:rsidP="00CE1ED7">
            <w:pPr>
              <w:pStyle w:val="ListParagraph"/>
              <w:numPr>
                <w:ilvl w:val="0"/>
                <w:numId w:val="2"/>
              </w:numPr>
              <w:spacing w:after="0"/>
              <w:ind w:left="1148"/>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Les Défis</w:t>
            </w:r>
          </w:p>
          <w:p w:rsidR="00CE1ED7" w:rsidRPr="00B20452" w:rsidRDefault="00CE1ED7" w:rsidP="00CE1ED7">
            <w:pPr>
              <w:pStyle w:val="ListParagraph"/>
              <w:numPr>
                <w:ilvl w:val="0"/>
                <w:numId w:val="2"/>
              </w:numPr>
              <w:spacing w:after="0"/>
              <w:ind w:left="1148"/>
              <w:rPr>
                <w:rFonts w:ascii="Times New Roman" w:hAnsi="Times New Roman" w:cs="Times New Roman"/>
                <w:sz w:val="24"/>
                <w:szCs w:val="24"/>
                <w:lang w:val="fr-FR"/>
              </w:rPr>
            </w:pPr>
            <w:r w:rsidRPr="00B20452">
              <w:rPr>
                <w:rFonts w:ascii="Times New Roman" w:eastAsia="Times New Roman" w:hAnsi="Times New Roman" w:cs="Times New Roman"/>
                <w:sz w:val="24"/>
                <w:szCs w:val="24"/>
                <w:lang w:val="fr-FR"/>
              </w:rPr>
              <w:t>Les Recommandations pour remédier à ces défis</w:t>
            </w:r>
          </w:p>
        </w:tc>
      </w:tr>
      <w:tr w:rsidR="00CE1ED7" w:rsidRPr="00185E15" w:rsidTr="00802957">
        <w:tblPrEx>
          <w:tblCellMar>
            <w:top w:w="0" w:type="dxa"/>
            <w:left w:w="148" w:type="dxa"/>
            <w:bottom w:w="0" w:type="dxa"/>
            <w:right w:w="148" w:type="dxa"/>
          </w:tblCellMar>
        </w:tblPrEx>
        <w:trPr>
          <w:trHeight w:val="1164"/>
        </w:trPr>
        <w:tc>
          <w:tcPr>
            <w:tcW w:w="2730" w:type="dxa"/>
            <w:tcBorders>
              <w:top w:val="single" w:sz="6" w:space="0" w:color="auto"/>
              <w:left w:val="double" w:sz="6" w:space="0" w:color="auto"/>
              <w:bottom w:val="single" w:sz="6" w:space="0" w:color="auto"/>
            </w:tcBorders>
            <w:shd w:val="clear" w:color="auto" w:fill="auto"/>
          </w:tcPr>
          <w:p w:rsidR="00CE1ED7"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Supervisory arrangements</w:t>
            </w:r>
            <w:r w:rsidRPr="00F8768F">
              <w:rPr>
                <w:rFonts w:ascii="Arial" w:hAnsi="Arial" w:cs="Arial"/>
                <w:sz w:val="18"/>
                <w:szCs w:val="18"/>
              </w:rPr>
              <w:t>:</w:t>
            </w:r>
            <w:r>
              <w:rPr>
                <w:rFonts w:ascii="Arial" w:hAnsi="Arial" w:cs="Arial"/>
                <w:sz w:val="18"/>
                <w:szCs w:val="18"/>
              </w:rPr>
              <w:t xml:space="preserve">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E1ED7" w:rsidRPr="00B20452" w:rsidRDefault="00CE1ED7" w:rsidP="00802957">
            <w:pPr>
              <w:tabs>
                <w:tab w:val="left" w:pos="-720"/>
              </w:tabs>
              <w:suppressAutoHyphens/>
              <w:spacing w:before="40" w:after="54"/>
              <w:rPr>
                <w:lang w:val="fr-FR"/>
              </w:rPr>
            </w:pPr>
            <w:r w:rsidRPr="00B20452">
              <w:rPr>
                <w:lang w:val="fr-FR"/>
              </w:rPr>
              <w:t>Le/la Consultant(e) National(e) sera placé(e) sous la supervision générale du Représentant, et sous la supervision directe du Représentant Assistant, et travaillera en étroite collaboration avec la Chargée de Programme Genre et Droits Humains de l'UNFPA</w:t>
            </w:r>
          </w:p>
        </w:tc>
      </w:tr>
      <w:tr w:rsidR="00CE1ED7" w:rsidRPr="00185E15" w:rsidTr="00802957">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E1ED7" w:rsidRPr="00653539" w:rsidRDefault="00CE1ED7" w:rsidP="00802957">
            <w:pPr>
              <w:tabs>
                <w:tab w:val="left" w:pos="-720"/>
              </w:tabs>
              <w:suppressAutoHyphens/>
              <w:spacing w:before="40" w:after="54"/>
              <w:rPr>
                <w:rFonts w:ascii="Arial" w:hAnsi="Arial" w:cs="Arial"/>
                <w:sz w:val="18"/>
                <w:szCs w:val="18"/>
              </w:rPr>
            </w:pPr>
            <w:r>
              <w:rPr>
                <w:rFonts w:ascii="Arial" w:hAnsi="Arial" w:cs="Arial"/>
                <w:sz w:val="18"/>
                <w:szCs w:val="18"/>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E1ED7" w:rsidRPr="00B20452" w:rsidRDefault="00CE1ED7" w:rsidP="00802957">
            <w:pPr>
              <w:tabs>
                <w:tab w:val="left" w:pos="-720"/>
              </w:tabs>
              <w:suppressAutoHyphens/>
              <w:spacing w:before="40" w:after="54"/>
              <w:rPr>
                <w:lang w:val="fr-FR"/>
              </w:rPr>
            </w:pPr>
            <w:r w:rsidRPr="00B20452">
              <w:rPr>
                <w:lang w:val="fr-FR"/>
              </w:rPr>
              <w:t>Possibles déplacements dans les localités considérées comme zones humanitaires, à sélectionner avec UNFPA</w:t>
            </w:r>
          </w:p>
        </w:tc>
      </w:tr>
      <w:tr w:rsidR="00CE1ED7" w:rsidRPr="00185E15" w:rsidTr="00802957">
        <w:tblPrEx>
          <w:tblCellMar>
            <w:top w:w="0" w:type="dxa"/>
            <w:left w:w="148" w:type="dxa"/>
            <w:bottom w:w="0"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E1ED7" w:rsidRPr="0062036A" w:rsidRDefault="00CE1ED7" w:rsidP="00802957">
            <w:pPr>
              <w:tabs>
                <w:tab w:val="left" w:pos="-720"/>
              </w:tabs>
              <w:suppressAutoHyphens/>
              <w:spacing w:before="40" w:after="54"/>
              <w:rPr>
                <w:rFonts w:ascii="Arial" w:hAnsi="Arial" w:cs="Arial"/>
                <w:sz w:val="18"/>
                <w:szCs w:val="18"/>
              </w:rPr>
            </w:pPr>
            <w:r w:rsidRPr="0062036A">
              <w:rPr>
                <w:rFonts w:ascii="Arial" w:hAnsi="Arial" w:cs="Arial"/>
                <w:sz w:val="18"/>
                <w:szCs w:val="18"/>
              </w:rPr>
              <w:t>Required expertise, qualifications and competencies, including language requirements: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E1ED7" w:rsidRPr="00B20452" w:rsidRDefault="00CE1ED7" w:rsidP="00802957">
            <w:pPr>
              <w:tabs>
                <w:tab w:val="left" w:pos="3880"/>
              </w:tabs>
              <w:spacing w:line="276" w:lineRule="auto"/>
              <w:ind w:right="-20"/>
              <w:jc w:val="both"/>
              <w:rPr>
                <w:lang w:val="fr-FR"/>
              </w:rPr>
            </w:pPr>
            <w:r w:rsidRPr="00B20452">
              <w:rPr>
                <w:lang w:val="fr-FR"/>
              </w:rPr>
              <w:t xml:space="preserve">Le /la Consultant(e) National(e) doit avoir : </w:t>
            </w:r>
          </w:p>
          <w:p w:rsidR="00CE1ED7" w:rsidRPr="00B20452" w:rsidRDefault="00CE1ED7" w:rsidP="00CE1ED7">
            <w:pPr>
              <w:numPr>
                <w:ilvl w:val="0"/>
                <w:numId w:val="3"/>
              </w:numPr>
              <w:spacing w:line="276" w:lineRule="auto"/>
              <w:jc w:val="both"/>
              <w:rPr>
                <w:lang w:val="fr-FR"/>
              </w:rPr>
            </w:pPr>
            <w:r w:rsidRPr="00B20452">
              <w:rPr>
                <w:lang w:val="fr-FR"/>
              </w:rPr>
              <w:t>Un Master ou équivalent en Santé public, en Psychologie, en Sociologie ou dans un autre domaine pertinent.</w:t>
            </w:r>
          </w:p>
          <w:p w:rsidR="00CE1ED7" w:rsidRPr="00B20452" w:rsidRDefault="00CE1ED7" w:rsidP="00CE1ED7">
            <w:pPr>
              <w:numPr>
                <w:ilvl w:val="0"/>
                <w:numId w:val="3"/>
              </w:numPr>
              <w:spacing w:line="276" w:lineRule="auto"/>
              <w:jc w:val="both"/>
              <w:rPr>
                <w:lang w:val="fr-FR"/>
              </w:rPr>
            </w:pPr>
            <w:r w:rsidRPr="00B20452">
              <w:rPr>
                <w:lang w:val="fr-FR"/>
              </w:rPr>
              <w:t xml:space="preserve">Avoir au minimum quatre (4) années d’expérience en matière Santé Sexuelle et Reproductive. </w:t>
            </w:r>
          </w:p>
          <w:p w:rsidR="00CE1ED7" w:rsidRPr="00B20452" w:rsidRDefault="00CE1ED7" w:rsidP="00CE1ED7">
            <w:pPr>
              <w:pStyle w:val="ListParagraph"/>
              <w:numPr>
                <w:ilvl w:val="0"/>
                <w:numId w:val="3"/>
              </w:numPr>
              <w:spacing w:after="0" w:line="276" w:lineRule="auto"/>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Bonne connaissance des systèmes nationaux et sous-nationaux de gestion des catastrophes.</w:t>
            </w:r>
          </w:p>
          <w:p w:rsidR="00CE1ED7" w:rsidRPr="00B20452" w:rsidRDefault="00CE1ED7" w:rsidP="00CE1ED7">
            <w:pPr>
              <w:pStyle w:val="ListParagraph"/>
              <w:numPr>
                <w:ilvl w:val="0"/>
                <w:numId w:val="3"/>
              </w:numPr>
              <w:spacing w:after="0" w:line="276" w:lineRule="auto"/>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Bonne connaissance des systèmes de SSR (y compris le DMU) et de santé.</w:t>
            </w:r>
          </w:p>
          <w:p w:rsidR="00CE1ED7" w:rsidRPr="00B20452" w:rsidRDefault="00CE1ED7" w:rsidP="00CE1ED7">
            <w:pPr>
              <w:pStyle w:val="ListParagraph"/>
              <w:numPr>
                <w:ilvl w:val="0"/>
                <w:numId w:val="3"/>
              </w:numPr>
              <w:spacing w:after="0" w:line="276" w:lineRule="auto"/>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Bonne connaissance des parties prenantes nationales et internationales.</w:t>
            </w:r>
          </w:p>
          <w:p w:rsidR="00CE1ED7" w:rsidRPr="00B20452" w:rsidRDefault="00CE1ED7" w:rsidP="00CE1ED7">
            <w:pPr>
              <w:pStyle w:val="ListParagraph"/>
              <w:numPr>
                <w:ilvl w:val="0"/>
                <w:numId w:val="3"/>
              </w:numPr>
              <w:spacing w:after="0" w:line="276" w:lineRule="auto"/>
              <w:rPr>
                <w:rFonts w:ascii="Times New Roman" w:eastAsia="Times New Roman" w:hAnsi="Times New Roman" w:cs="Times New Roman"/>
                <w:sz w:val="24"/>
                <w:szCs w:val="24"/>
                <w:lang w:val="fr-FR"/>
              </w:rPr>
            </w:pPr>
            <w:r w:rsidRPr="00B20452">
              <w:rPr>
                <w:rFonts w:ascii="Times New Roman" w:eastAsia="Times New Roman" w:hAnsi="Times New Roman" w:cs="Times New Roman"/>
                <w:sz w:val="24"/>
                <w:szCs w:val="24"/>
                <w:lang w:val="fr-FR"/>
              </w:rPr>
              <w:t>Excellentes compétences en matière de coordination et de facilitation.</w:t>
            </w:r>
          </w:p>
          <w:p w:rsidR="00CE1ED7" w:rsidRPr="00B20452" w:rsidRDefault="00CE1ED7" w:rsidP="00CE1ED7">
            <w:pPr>
              <w:numPr>
                <w:ilvl w:val="0"/>
                <w:numId w:val="3"/>
              </w:numPr>
              <w:spacing w:line="276" w:lineRule="auto"/>
              <w:jc w:val="both"/>
              <w:rPr>
                <w:lang w:val="fr-FR"/>
              </w:rPr>
            </w:pPr>
            <w:r w:rsidRPr="00B20452">
              <w:rPr>
                <w:lang w:val="fr-FR"/>
              </w:rPr>
              <w:t>Savoir utiliser l’outil informatique, notamment Word, Excel et Powerpoint.</w:t>
            </w:r>
          </w:p>
          <w:p w:rsidR="00CE1ED7" w:rsidRPr="00B20452" w:rsidRDefault="00CE1ED7" w:rsidP="00CE1ED7">
            <w:pPr>
              <w:numPr>
                <w:ilvl w:val="0"/>
                <w:numId w:val="3"/>
              </w:numPr>
              <w:spacing w:line="276" w:lineRule="auto"/>
              <w:jc w:val="both"/>
              <w:rPr>
                <w:lang w:val="fr-FR"/>
              </w:rPr>
            </w:pPr>
            <w:r>
              <w:rPr>
                <w:lang w:val="fr-FR"/>
              </w:rPr>
              <w:t>Maitriser</w:t>
            </w:r>
            <w:r w:rsidRPr="00B20452">
              <w:rPr>
                <w:lang w:val="fr-FR"/>
              </w:rPr>
              <w:t xml:space="preserve"> </w:t>
            </w:r>
            <w:r>
              <w:rPr>
                <w:lang w:val="fr-FR"/>
              </w:rPr>
              <w:t>le</w:t>
            </w:r>
            <w:r w:rsidRPr="00B20452">
              <w:rPr>
                <w:lang w:val="fr-FR"/>
              </w:rPr>
              <w:t xml:space="preserve"> Français, oral et écrit</w:t>
            </w:r>
            <w:r>
              <w:rPr>
                <w:lang w:val="fr-FR"/>
              </w:rPr>
              <w:t xml:space="preserve"> ; </w:t>
            </w:r>
            <w:r w:rsidRPr="00B20452">
              <w:rPr>
                <w:lang w:val="fr-FR"/>
              </w:rPr>
              <w:t xml:space="preserve">et </w:t>
            </w:r>
            <w:r>
              <w:rPr>
                <w:lang w:val="fr-FR"/>
              </w:rPr>
              <w:t xml:space="preserve">avoir </w:t>
            </w:r>
            <w:r w:rsidRPr="00B20452">
              <w:rPr>
                <w:lang w:val="fr-FR"/>
              </w:rPr>
              <w:t xml:space="preserve">la capacité de travail en </w:t>
            </w:r>
            <w:r>
              <w:rPr>
                <w:lang w:val="fr-FR"/>
              </w:rPr>
              <w:t>a</w:t>
            </w:r>
            <w:r w:rsidRPr="00B20452">
              <w:rPr>
                <w:lang w:val="fr-FR"/>
              </w:rPr>
              <w:t>nglais</w:t>
            </w:r>
            <w:r>
              <w:rPr>
                <w:lang w:val="fr-FR"/>
              </w:rPr>
              <w:t>.</w:t>
            </w:r>
            <w:r w:rsidRPr="00B20452">
              <w:rPr>
                <w:rFonts w:ascii="Calibri" w:eastAsia="Calibri" w:hAnsi="Calibri" w:cs="Calibri"/>
                <w:color w:val="000000"/>
                <w:lang w:val="fr-FR"/>
              </w:rPr>
              <w:t xml:space="preserve"> </w:t>
            </w:r>
          </w:p>
        </w:tc>
      </w:tr>
      <w:tr w:rsidR="00CE1ED7" w:rsidRPr="00185E15" w:rsidTr="00802957">
        <w:tblPrEx>
          <w:tblCellMar>
            <w:top w:w="0" w:type="dxa"/>
            <w:left w:w="148" w:type="dxa"/>
            <w:bottom w:w="0" w:type="dxa"/>
            <w:right w:w="148" w:type="dxa"/>
          </w:tblCellMar>
        </w:tblPrEx>
        <w:trPr>
          <w:trHeight w:val="2637"/>
        </w:trPr>
        <w:tc>
          <w:tcPr>
            <w:tcW w:w="2730" w:type="dxa"/>
            <w:tcBorders>
              <w:top w:val="single" w:sz="6" w:space="0" w:color="auto"/>
              <w:left w:val="double" w:sz="6" w:space="0" w:color="auto"/>
              <w:bottom w:val="single" w:sz="6" w:space="0" w:color="auto"/>
            </w:tcBorders>
            <w:shd w:val="clear" w:color="auto" w:fill="auto"/>
          </w:tcPr>
          <w:p w:rsidR="00CE1ED7" w:rsidRPr="004B3CA7" w:rsidRDefault="00CE1ED7" w:rsidP="00802957">
            <w:pPr>
              <w:tabs>
                <w:tab w:val="left" w:pos="-720"/>
              </w:tabs>
              <w:suppressAutoHyphens/>
              <w:spacing w:before="40" w:after="54"/>
              <w:rPr>
                <w:rFonts w:ascii="Arial" w:hAnsi="Arial" w:cs="Arial"/>
                <w:sz w:val="18"/>
                <w:szCs w:val="18"/>
              </w:rPr>
            </w:pPr>
            <w:r w:rsidRPr="004B3CA7">
              <w:rPr>
                <w:rFonts w:ascii="Arial" w:hAnsi="Arial" w:cs="Arial"/>
                <w:sz w:val="18"/>
                <w:szCs w:val="18"/>
              </w:rPr>
              <w:t>Inputs / services to be provided by UNFPA or implementing partner (</w:t>
            </w:r>
            <w:proofErr w:type="spellStart"/>
            <w:r w:rsidRPr="004B3CA7">
              <w:rPr>
                <w:rFonts w:ascii="Arial" w:hAnsi="Arial" w:cs="Arial"/>
                <w:sz w:val="18"/>
                <w:szCs w:val="18"/>
              </w:rPr>
              <w:t>e.g</w:t>
            </w:r>
            <w:proofErr w:type="spellEnd"/>
            <w:r w:rsidRPr="004B3CA7">
              <w:rPr>
                <w:rFonts w:ascii="Arial" w:hAnsi="Arial" w:cs="Arial"/>
                <w:sz w:val="18"/>
                <w:szCs w:val="18"/>
              </w:rPr>
              <w:t xml:space="preserve">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vAlign w:val="center"/>
          </w:tcPr>
          <w:p w:rsidR="00CE1ED7" w:rsidRPr="00B20452" w:rsidRDefault="00CE1ED7" w:rsidP="00802957">
            <w:pPr>
              <w:tabs>
                <w:tab w:val="left" w:pos="-720"/>
              </w:tabs>
              <w:suppressAutoHyphens/>
              <w:spacing w:before="40" w:after="54" w:line="276" w:lineRule="auto"/>
              <w:rPr>
                <w:lang w:val="fr-FR"/>
              </w:rPr>
            </w:pPr>
            <w:r w:rsidRPr="00B20452">
              <w:rPr>
                <w:lang w:val="fr-FR"/>
              </w:rPr>
              <w:t>Le/la consultant(e) bénéficiera d’un espace de travail au sein du Bureau UNFPA, de la connexion internet, ainsi que d’un briefing initial avant le démarrage de la consultation</w:t>
            </w:r>
          </w:p>
          <w:p w:rsidR="00CE1ED7" w:rsidRPr="00B20452" w:rsidRDefault="00CE1ED7" w:rsidP="00802957">
            <w:pPr>
              <w:tabs>
                <w:tab w:val="left" w:pos="-720"/>
              </w:tabs>
              <w:suppressAutoHyphens/>
              <w:spacing w:before="40" w:after="54" w:line="276" w:lineRule="auto"/>
              <w:rPr>
                <w:lang w:val="fr-FR"/>
              </w:rPr>
            </w:pPr>
            <w:r w:rsidRPr="00B20452">
              <w:rPr>
                <w:lang w:val="fr-FR"/>
              </w:rPr>
              <w:t>Les superviseurs resteront aussi disponibles pour des orientations stratégiques sur les résultats attendus, la note méthodologique.</w:t>
            </w:r>
          </w:p>
          <w:p w:rsidR="00CE1ED7" w:rsidRPr="00B20452" w:rsidRDefault="00CE1ED7" w:rsidP="00802957">
            <w:pPr>
              <w:tabs>
                <w:tab w:val="left" w:pos="-720"/>
              </w:tabs>
              <w:suppressAutoHyphens/>
              <w:spacing w:before="40" w:after="54" w:line="276" w:lineRule="auto"/>
              <w:rPr>
                <w:lang w:val="fr-FR"/>
              </w:rPr>
            </w:pPr>
            <w:r w:rsidRPr="00B20452">
              <w:rPr>
                <w:lang w:val="fr-FR"/>
              </w:rPr>
              <w:t>UNFPA mettra aussi à la disposition du/de la consultant(e), l’appui logistique nécessaire à l’organisation de l’atelier MRA</w:t>
            </w:r>
          </w:p>
        </w:tc>
      </w:tr>
    </w:tbl>
    <w:p w:rsidR="00CE1ED7" w:rsidRDefault="00CE1ED7" w:rsidP="00CE1ED7"/>
    <w:p w:rsidR="00CE1ED7" w:rsidRDefault="00CE1ED7" w:rsidP="00CE1ED7"/>
    <w:p w:rsidR="00CE1ED7" w:rsidRDefault="00CE1ED7" w:rsidP="00CE1ED7"/>
    <w:p w:rsidR="00CE1ED7" w:rsidRDefault="00CE1ED7" w:rsidP="00CE1ED7"/>
    <w:p w:rsidR="00CE1ED7" w:rsidRDefault="00CE1ED7" w:rsidP="00CE1ED7"/>
    <w:p w:rsidR="00CE1ED7" w:rsidRDefault="00CE1ED7" w:rsidP="00CE1ED7">
      <w:r>
        <w:br w:type="page"/>
      </w:r>
    </w:p>
    <w:tbl>
      <w:tblPr>
        <w:tblW w:w="10440" w:type="dxa"/>
        <w:tblInd w:w="-332" w:type="dxa"/>
        <w:tblLayout w:type="fixed"/>
        <w:tblCellMar>
          <w:left w:w="148" w:type="dxa"/>
          <w:right w:w="148" w:type="dxa"/>
        </w:tblCellMar>
        <w:tblLook w:val="0000" w:firstRow="0" w:lastRow="0" w:firstColumn="0" w:lastColumn="0" w:noHBand="0" w:noVBand="0"/>
      </w:tblPr>
      <w:tblGrid>
        <w:gridCol w:w="2730"/>
        <w:gridCol w:w="7710"/>
      </w:tblGrid>
      <w:tr w:rsidR="00CE1ED7" w:rsidRPr="00185E15" w:rsidTr="00802957">
        <w:tblPrEx>
          <w:tblCellMar>
            <w:top w:w="0" w:type="dxa"/>
            <w:bottom w:w="0" w:type="dxa"/>
          </w:tblCellMar>
        </w:tblPrEx>
        <w:tc>
          <w:tcPr>
            <w:tcW w:w="2730" w:type="dxa"/>
            <w:tcBorders>
              <w:top w:val="single" w:sz="6" w:space="0" w:color="auto"/>
              <w:left w:val="double" w:sz="6" w:space="0" w:color="auto"/>
              <w:bottom w:val="single" w:sz="6" w:space="0" w:color="auto"/>
            </w:tcBorders>
            <w:shd w:val="clear" w:color="auto" w:fill="auto"/>
          </w:tcPr>
          <w:p w:rsidR="00CE1ED7" w:rsidRDefault="00CE1ED7" w:rsidP="00802957">
            <w:pPr>
              <w:tabs>
                <w:tab w:val="left" w:pos="-720"/>
              </w:tabs>
              <w:suppressAutoHyphens/>
              <w:rPr>
                <w:rFonts w:ascii="Arial" w:hAnsi="Arial" w:cs="Arial"/>
                <w:sz w:val="20"/>
                <w:szCs w:val="20"/>
              </w:rPr>
            </w:pPr>
            <w:r>
              <w:rPr>
                <w:rFonts w:ascii="Arial" w:hAnsi="Arial" w:cs="Arial"/>
                <w:sz w:val="20"/>
                <w:szCs w:val="20"/>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E1ED7" w:rsidRPr="00B20452" w:rsidRDefault="00CE1ED7" w:rsidP="00802957">
            <w:pPr>
              <w:ind w:left="157" w:right="141"/>
              <w:jc w:val="both"/>
              <w:rPr>
                <w:b/>
                <w:u w:val="single"/>
              </w:rPr>
            </w:pPr>
            <w:r w:rsidRPr="00B20452">
              <w:rPr>
                <w:b/>
                <w:u w:val="single"/>
              </w:rPr>
              <w:t>Dossier de Candidature</w:t>
            </w:r>
          </w:p>
          <w:p w:rsidR="00CE1ED7" w:rsidRPr="00B20452" w:rsidRDefault="00CE1ED7" w:rsidP="00802957">
            <w:pPr>
              <w:ind w:left="157" w:right="141"/>
              <w:jc w:val="both"/>
              <w:rPr>
                <w:b/>
                <w:u w:val="single"/>
              </w:rPr>
            </w:pPr>
          </w:p>
          <w:p w:rsidR="00CE1ED7" w:rsidRPr="00B20452" w:rsidRDefault="00CE1ED7" w:rsidP="00CE1ED7">
            <w:pPr>
              <w:numPr>
                <w:ilvl w:val="0"/>
                <w:numId w:val="4"/>
              </w:numPr>
              <w:spacing w:line="276" w:lineRule="auto"/>
              <w:jc w:val="both"/>
              <w:rPr>
                <w:u w:val="single"/>
              </w:rPr>
            </w:pPr>
            <w:r w:rsidRPr="00B20452">
              <w:rPr>
                <w:u w:val="single"/>
              </w:rPr>
              <w:t>Composition</w:t>
            </w:r>
          </w:p>
          <w:p w:rsidR="00CE1ED7" w:rsidRPr="00B20452" w:rsidRDefault="00CE1ED7" w:rsidP="00CE1ED7">
            <w:pPr>
              <w:numPr>
                <w:ilvl w:val="0"/>
                <w:numId w:val="5"/>
              </w:numPr>
              <w:spacing w:line="276" w:lineRule="auto"/>
              <w:jc w:val="both"/>
              <w:rPr>
                <w:color w:val="000000"/>
                <w:lang w:val="fr-FR"/>
              </w:rPr>
            </w:pPr>
            <w:r w:rsidRPr="00B20452">
              <w:rPr>
                <w:lang w:val="fr-FR"/>
              </w:rPr>
              <w:t>Demande non manuscrite spécifiant trois (03) personnes de référence ;</w:t>
            </w:r>
          </w:p>
          <w:p w:rsidR="00CE1ED7" w:rsidRPr="00B20452" w:rsidRDefault="00CE1ED7" w:rsidP="00CE1ED7">
            <w:pPr>
              <w:numPr>
                <w:ilvl w:val="0"/>
                <w:numId w:val="5"/>
              </w:numPr>
              <w:spacing w:line="276" w:lineRule="auto"/>
              <w:jc w:val="both"/>
              <w:rPr>
                <w:color w:val="000000"/>
                <w:lang w:val="fr-FR"/>
              </w:rPr>
            </w:pPr>
            <w:r w:rsidRPr="00B20452">
              <w:rPr>
                <w:lang w:val="fr-FR"/>
              </w:rPr>
              <w:t>Curriculum vitae daté de moins d’un (1) mois ;</w:t>
            </w:r>
          </w:p>
          <w:p w:rsidR="00CE1ED7" w:rsidRPr="00B20452" w:rsidRDefault="00CE1ED7" w:rsidP="00CE1ED7">
            <w:pPr>
              <w:numPr>
                <w:ilvl w:val="0"/>
                <w:numId w:val="5"/>
              </w:numPr>
              <w:spacing w:line="276" w:lineRule="auto"/>
              <w:jc w:val="both"/>
              <w:rPr>
                <w:color w:val="000000"/>
                <w:lang w:val="fr-FR"/>
              </w:rPr>
            </w:pPr>
            <w:r w:rsidRPr="00B20452">
              <w:rPr>
                <w:lang w:val="fr-FR"/>
              </w:rPr>
              <w:t>Formulaire P11 dûment rempli (envoi sur simple demande ou par retrait au Siège de l’UNFPA Congo) ;</w:t>
            </w:r>
          </w:p>
          <w:p w:rsidR="00CE1ED7" w:rsidRPr="00B20452" w:rsidRDefault="00CE1ED7" w:rsidP="00CE1ED7">
            <w:pPr>
              <w:numPr>
                <w:ilvl w:val="0"/>
                <w:numId w:val="5"/>
              </w:numPr>
              <w:spacing w:line="276" w:lineRule="auto"/>
              <w:jc w:val="both"/>
              <w:rPr>
                <w:color w:val="000000"/>
              </w:rPr>
            </w:pPr>
            <w:r w:rsidRPr="00B20452">
              <w:rPr>
                <w:lang w:val="fr-FR"/>
              </w:rPr>
              <w:t xml:space="preserve">Copies de diplômes, certificats, attestations des services rendus, etc. </w:t>
            </w:r>
            <w:r w:rsidRPr="00B20452">
              <w:t xml:space="preserve">(Ne pas </w:t>
            </w:r>
            <w:proofErr w:type="spellStart"/>
            <w:r w:rsidRPr="00B20452">
              <w:t>joindre</w:t>
            </w:r>
            <w:proofErr w:type="spellEnd"/>
            <w:r w:rsidRPr="00B20452">
              <w:t xml:space="preserve"> les </w:t>
            </w:r>
            <w:proofErr w:type="spellStart"/>
            <w:r w:rsidRPr="00B20452">
              <w:t>originaux</w:t>
            </w:r>
            <w:proofErr w:type="spellEnd"/>
            <w:r w:rsidRPr="00B20452">
              <w:t>).</w:t>
            </w:r>
          </w:p>
          <w:p w:rsidR="00CE1ED7" w:rsidRPr="00B20452" w:rsidRDefault="00CE1ED7" w:rsidP="00802957">
            <w:pPr>
              <w:spacing w:line="276" w:lineRule="auto"/>
              <w:ind w:left="360"/>
              <w:jc w:val="both"/>
            </w:pPr>
          </w:p>
          <w:p w:rsidR="00CE1ED7" w:rsidRPr="00B20452" w:rsidRDefault="00CE1ED7" w:rsidP="00CE1ED7">
            <w:pPr>
              <w:numPr>
                <w:ilvl w:val="0"/>
                <w:numId w:val="4"/>
              </w:numPr>
              <w:spacing w:line="276" w:lineRule="auto"/>
              <w:jc w:val="both"/>
              <w:rPr>
                <w:u w:val="single"/>
              </w:rPr>
            </w:pPr>
            <w:proofErr w:type="spellStart"/>
            <w:r w:rsidRPr="00B20452">
              <w:rPr>
                <w:u w:val="single"/>
              </w:rPr>
              <w:t>Dépôt</w:t>
            </w:r>
            <w:proofErr w:type="spellEnd"/>
            <w:r w:rsidRPr="00B20452">
              <w:rPr>
                <w:u w:val="single"/>
              </w:rPr>
              <w:t> de dossiers</w:t>
            </w:r>
          </w:p>
          <w:p w:rsidR="00CE1ED7" w:rsidRPr="006B5882" w:rsidRDefault="00CE1ED7" w:rsidP="00802957">
            <w:pPr>
              <w:spacing w:line="300" w:lineRule="atLeast"/>
              <w:jc w:val="both"/>
              <w:rPr>
                <w:color w:val="222222"/>
                <w:sz w:val="22"/>
                <w:szCs w:val="22"/>
              </w:rPr>
            </w:pPr>
            <w:r w:rsidRPr="006B5882">
              <w:rPr>
                <w:b/>
                <w:bCs/>
                <w:sz w:val="22"/>
                <w:szCs w:val="22"/>
                <w:lang w:val="fr-FR"/>
              </w:rPr>
              <w:t>Dépôt des Dossiers</w:t>
            </w:r>
            <w:r w:rsidRPr="006B5882">
              <w:rPr>
                <w:sz w:val="22"/>
                <w:szCs w:val="22"/>
                <w:lang w:val="fr-FR"/>
              </w:rPr>
              <w:t xml:space="preserve">:  Sous pli fermé à adresser à Monsieur le Représentant de l’UNFPA Congo, avec la mention Candidature au Poste de </w:t>
            </w:r>
            <w:r w:rsidRPr="006B5882">
              <w:rPr>
                <w:b/>
                <w:sz w:val="22"/>
                <w:szCs w:val="22"/>
                <w:lang w:val="fr-FR"/>
              </w:rPr>
              <w:t xml:space="preserve">Consultant(e), Chargé(e) de la mise en place de l’évaluation de l’état de préparation au Dispositif Minimum d’Urgence (DMU).  </w:t>
            </w:r>
            <w:r w:rsidRPr="006B5882">
              <w:rPr>
                <w:sz w:val="22"/>
                <w:szCs w:val="22"/>
                <w:lang w:val="fr-FR"/>
              </w:rPr>
              <w:t>Ou à l’adresse mail :</w:t>
            </w:r>
            <w:r w:rsidRPr="006B5882">
              <w:rPr>
                <w:b/>
                <w:sz w:val="22"/>
                <w:szCs w:val="22"/>
                <w:lang w:val="fr-FR"/>
              </w:rPr>
              <w:t xml:space="preserve"> </w:t>
            </w:r>
            <w:r w:rsidRPr="006B5882">
              <w:rPr>
                <w:color w:val="222222"/>
                <w:sz w:val="22"/>
                <w:szCs w:val="22"/>
              </w:rPr>
              <w:br/>
            </w:r>
            <w:r w:rsidRPr="00DF253A">
              <w:rPr>
                <w:b/>
                <w:color w:val="2E74B5"/>
                <w:sz w:val="22"/>
                <w:szCs w:val="22"/>
              </w:rPr>
              <w:t>vacancy.congobrazzaville@unfpa.org</w:t>
            </w:r>
          </w:p>
          <w:p w:rsidR="00CE1ED7" w:rsidRPr="006B5882" w:rsidRDefault="00CE1ED7" w:rsidP="00802957">
            <w:pPr>
              <w:overflowPunct w:val="0"/>
              <w:autoSpaceDE w:val="0"/>
              <w:autoSpaceDN w:val="0"/>
              <w:adjustRightInd w:val="0"/>
              <w:spacing w:line="276" w:lineRule="auto"/>
              <w:jc w:val="both"/>
              <w:rPr>
                <w:b/>
                <w:sz w:val="22"/>
                <w:szCs w:val="22"/>
                <w:lang w:val="fr-FR"/>
              </w:rPr>
            </w:pPr>
          </w:p>
          <w:p w:rsidR="00CE1ED7" w:rsidRPr="00123534" w:rsidRDefault="00CE1ED7" w:rsidP="00802957">
            <w:pPr>
              <w:tabs>
                <w:tab w:val="left" w:pos="284"/>
              </w:tabs>
              <w:spacing w:before="61"/>
              <w:ind w:right="-20"/>
              <w:jc w:val="both"/>
              <w:rPr>
                <w:b/>
                <w:sz w:val="22"/>
                <w:szCs w:val="22"/>
                <w:lang w:val="fr-FR"/>
              </w:rPr>
            </w:pPr>
            <w:r w:rsidRPr="006B5882">
              <w:rPr>
                <w:sz w:val="22"/>
                <w:szCs w:val="22"/>
              </w:rPr>
              <w:t xml:space="preserve">Les consultants </w:t>
            </w:r>
            <w:proofErr w:type="spellStart"/>
            <w:r w:rsidRPr="006B5882">
              <w:rPr>
                <w:sz w:val="22"/>
                <w:szCs w:val="22"/>
              </w:rPr>
              <w:t>intéressées</w:t>
            </w:r>
            <w:proofErr w:type="spellEnd"/>
            <w:r w:rsidRPr="006B5882">
              <w:rPr>
                <w:sz w:val="22"/>
                <w:szCs w:val="22"/>
              </w:rPr>
              <w:t xml:space="preserve"> </w:t>
            </w:r>
            <w:proofErr w:type="spellStart"/>
            <w:r w:rsidRPr="006B5882">
              <w:rPr>
                <w:sz w:val="22"/>
                <w:szCs w:val="22"/>
              </w:rPr>
              <w:t>peuvent</w:t>
            </w:r>
            <w:proofErr w:type="spellEnd"/>
            <w:r w:rsidRPr="006B5882">
              <w:rPr>
                <w:sz w:val="22"/>
                <w:szCs w:val="22"/>
              </w:rPr>
              <w:t xml:space="preserve"> </w:t>
            </w:r>
            <w:proofErr w:type="spellStart"/>
            <w:r w:rsidRPr="006B5882">
              <w:rPr>
                <w:sz w:val="22"/>
                <w:szCs w:val="22"/>
              </w:rPr>
              <w:t>recuperer</w:t>
            </w:r>
            <w:proofErr w:type="spellEnd"/>
            <w:r w:rsidRPr="006B5882">
              <w:rPr>
                <w:sz w:val="22"/>
                <w:szCs w:val="22"/>
              </w:rPr>
              <w:t xml:space="preserve"> les TDR </w:t>
            </w:r>
            <w:proofErr w:type="spellStart"/>
            <w:r w:rsidRPr="006B5882">
              <w:rPr>
                <w:sz w:val="22"/>
                <w:szCs w:val="22"/>
              </w:rPr>
              <w:t>sur</w:t>
            </w:r>
            <w:proofErr w:type="spellEnd"/>
            <w:r w:rsidRPr="006B5882">
              <w:rPr>
                <w:sz w:val="22"/>
                <w:szCs w:val="22"/>
              </w:rPr>
              <w:t xml:space="preserve"> le </w:t>
            </w:r>
            <w:proofErr w:type="gramStart"/>
            <w:r w:rsidRPr="006B5882">
              <w:rPr>
                <w:sz w:val="22"/>
                <w:szCs w:val="22"/>
              </w:rPr>
              <w:t>site :</w:t>
            </w:r>
            <w:proofErr w:type="gramEnd"/>
            <w:r w:rsidRPr="006B5882">
              <w:rPr>
                <w:b/>
                <w:color w:val="0070C0"/>
                <w:sz w:val="22"/>
                <w:szCs w:val="22"/>
              </w:rPr>
              <w:t xml:space="preserve"> </w:t>
            </w:r>
            <w:r w:rsidRPr="006B5882">
              <w:rPr>
                <w:sz w:val="22"/>
                <w:szCs w:val="22"/>
              </w:rPr>
              <w:fldChar w:fldCharType="begin"/>
            </w:r>
            <w:r w:rsidRPr="006B5882">
              <w:rPr>
                <w:sz w:val="22"/>
                <w:szCs w:val="22"/>
              </w:rPr>
              <w:instrText xml:space="preserve"> HYPERLINK "https://congo.unfpa.org/fr" \t "_blank" </w:instrText>
            </w:r>
            <w:r w:rsidRPr="006B5882">
              <w:rPr>
                <w:sz w:val="22"/>
                <w:szCs w:val="22"/>
              </w:rPr>
            </w:r>
            <w:r w:rsidRPr="006B5882">
              <w:rPr>
                <w:sz w:val="22"/>
                <w:szCs w:val="22"/>
              </w:rPr>
              <w:fldChar w:fldCharType="separate"/>
            </w:r>
            <w:r w:rsidRPr="006B5882">
              <w:rPr>
                <w:rStyle w:val="Hyperlink"/>
                <w:color w:val="1155CC"/>
                <w:sz w:val="22"/>
                <w:szCs w:val="22"/>
                <w:shd w:val="clear" w:color="auto" w:fill="FFFFFF"/>
              </w:rPr>
              <w:t>https://congo.unfpa.org/fr</w:t>
            </w:r>
            <w:r w:rsidRPr="006B5882">
              <w:rPr>
                <w:sz w:val="22"/>
                <w:szCs w:val="22"/>
              </w:rPr>
              <w:fldChar w:fldCharType="end"/>
            </w:r>
          </w:p>
          <w:p w:rsidR="00CE1ED7" w:rsidRPr="006B5882" w:rsidRDefault="00CE1ED7" w:rsidP="00802957">
            <w:pPr>
              <w:jc w:val="both"/>
              <w:rPr>
                <w:sz w:val="22"/>
                <w:szCs w:val="22"/>
                <w:lang w:val="fr-FR"/>
              </w:rPr>
            </w:pPr>
            <w:r w:rsidRPr="00123534">
              <w:rPr>
                <w:sz w:val="22"/>
                <w:szCs w:val="22"/>
                <w:lang w:val="fr-FR"/>
              </w:rPr>
              <w:t xml:space="preserve">Ou au Bureau de l’UNFPA Brazzaville, Rue </w:t>
            </w:r>
            <w:proofErr w:type="spellStart"/>
            <w:r w:rsidRPr="00123534">
              <w:rPr>
                <w:sz w:val="22"/>
                <w:szCs w:val="22"/>
                <w:lang w:val="fr-FR"/>
              </w:rPr>
              <w:t>Crampel</w:t>
            </w:r>
            <w:proofErr w:type="spellEnd"/>
            <w:r w:rsidRPr="00123534">
              <w:rPr>
                <w:sz w:val="22"/>
                <w:szCs w:val="22"/>
                <w:lang w:val="fr-FR"/>
              </w:rPr>
              <w:t xml:space="preserve"> (en face de la BDEAC) Centre-ville BP 19012 Brazzaville République du Congo (Téléphone : +242 05 521 67 00), </w:t>
            </w:r>
          </w:p>
          <w:p w:rsidR="00CE1ED7" w:rsidRPr="006B5882" w:rsidRDefault="00CE1ED7" w:rsidP="00802957">
            <w:pPr>
              <w:overflowPunct w:val="0"/>
              <w:autoSpaceDE w:val="0"/>
              <w:autoSpaceDN w:val="0"/>
              <w:adjustRightInd w:val="0"/>
              <w:spacing w:line="276" w:lineRule="auto"/>
              <w:jc w:val="both"/>
              <w:rPr>
                <w:sz w:val="22"/>
                <w:szCs w:val="22"/>
                <w:lang w:val="fr-FR"/>
              </w:rPr>
            </w:pPr>
          </w:p>
          <w:p w:rsidR="00CE1ED7" w:rsidRPr="00185E15" w:rsidRDefault="00CE1ED7" w:rsidP="00802957">
            <w:pPr>
              <w:tabs>
                <w:tab w:val="left" w:pos="-720"/>
              </w:tabs>
              <w:suppressAutoHyphens/>
              <w:rPr>
                <w:sz w:val="22"/>
                <w:szCs w:val="22"/>
                <w:lang w:val="fr-FR"/>
              </w:rPr>
            </w:pPr>
          </w:p>
          <w:p w:rsidR="00CE1ED7" w:rsidRPr="00185E15" w:rsidRDefault="00CE1ED7" w:rsidP="00802957">
            <w:pPr>
              <w:tabs>
                <w:tab w:val="left" w:pos="-720"/>
              </w:tabs>
              <w:suppressAutoHyphens/>
              <w:rPr>
                <w:sz w:val="22"/>
                <w:szCs w:val="22"/>
                <w:lang w:val="fr-FR"/>
              </w:rPr>
            </w:pPr>
          </w:p>
        </w:tc>
      </w:tr>
      <w:tr w:rsidR="00CE1ED7" w:rsidRPr="00316324" w:rsidTr="00802957">
        <w:tblPrEx>
          <w:tblCellMar>
            <w:top w:w="0" w:type="dxa"/>
            <w:bottom w:w="0"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CE1ED7" w:rsidRPr="00C96BB6" w:rsidRDefault="00CE1ED7" w:rsidP="00802957">
            <w:pPr>
              <w:tabs>
                <w:tab w:val="left" w:pos="-720"/>
              </w:tabs>
              <w:suppressAutoHyphens/>
              <w:rPr>
                <w:rFonts w:ascii="Arial" w:hAnsi="Arial" w:cs="Arial"/>
                <w:sz w:val="20"/>
                <w:szCs w:val="20"/>
                <w:lang w:val="fr-FR"/>
              </w:rPr>
            </w:pPr>
          </w:p>
          <w:p w:rsidR="00CE1ED7" w:rsidRPr="00B20452" w:rsidRDefault="00CE1ED7" w:rsidP="00802957">
            <w:pPr>
              <w:tabs>
                <w:tab w:val="left" w:pos="-720"/>
              </w:tabs>
              <w:suppressAutoHyphens/>
              <w:spacing w:after="240"/>
            </w:pPr>
            <w:r w:rsidRPr="00B20452">
              <w:t>Signature of Requesting Officer in Hiring Office</w:t>
            </w:r>
            <w:proofErr w:type="gramStart"/>
            <w:r w:rsidRPr="00B20452">
              <w:t xml:space="preserve">:                                       </w:t>
            </w:r>
            <w:r w:rsidRPr="00B20452">
              <w:rPr>
                <w:b/>
                <w:bCs/>
              </w:rPr>
              <w:t>Victor</w:t>
            </w:r>
            <w:proofErr w:type="gramEnd"/>
            <w:r w:rsidRPr="00B20452">
              <w:rPr>
                <w:b/>
                <w:bCs/>
              </w:rPr>
              <w:t xml:space="preserve"> RAKOTO</w:t>
            </w:r>
          </w:p>
          <w:p w:rsidR="00CE1ED7" w:rsidRPr="00B20452" w:rsidRDefault="00CE1ED7" w:rsidP="00802957">
            <w:pPr>
              <w:tabs>
                <w:tab w:val="left" w:pos="-720"/>
              </w:tabs>
              <w:suppressAutoHyphens/>
              <w:rPr>
                <w:lang w:val="fr-FR"/>
              </w:rPr>
            </w:pPr>
            <w:r w:rsidRPr="004E6E2B">
              <w:rPr>
                <w:lang w:val="en-US"/>
              </w:rPr>
              <w:t xml:space="preserve">                                                                                              </w:t>
            </w:r>
            <w:r w:rsidRPr="00B20452">
              <w:rPr>
                <w:lang w:val="fr-FR"/>
              </w:rPr>
              <w:t>Représentant Résident de l’UNFPA au Congo</w:t>
            </w:r>
          </w:p>
          <w:p w:rsidR="00CE1ED7" w:rsidRPr="00B20452" w:rsidRDefault="00CE1ED7" w:rsidP="00802957">
            <w:pPr>
              <w:tabs>
                <w:tab w:val="left" w:pos="-720"/>
              </w:tabs>
              <w:suppressAutoHyphens/>
              <w:rPr>
                <w:lang w:val="fr-FR"/>
              </w:rPr>
            </w:pPr>
          </w:p>
          <w:p w:rsidR="00CE1ED7" w:rsidRPr="00B20452" w:rsidRDefault="00CE1ED7" w:rsidP="00802957">
            <w:pPr>
              <w:tabs>
                <w:tab w:val="left" w:pos="-720"/>
              </w:tabs>
              <w:suppressAutoHyphens/>
              <w:rPr>
                <w:lang w:val="fr-FR"/>
              </w:rPr>
            </w:pPr>
            <w:r w:rsidRPr="00B20452">
              <w:rPr>
                <w:lang w:val="fr-FR"/>
              </w:rPr>
              <w:t xml:space="preserve">Date: </w:t>
            </w:r>
            <w:r w:rsidRPr="004E6E2B">
              <w:rPr>
                <w:b/>
                <w:bCs/>
                <w:lang w:val="fr-FR"/>
              </w:rPr>
              <w:t>03 Octobre 2023</w:t>
            </w:r>
          </w:p>
          <w:p w:rsidR="00CE1ED7" w:rsidRPr="00316324" w:rsidRDefault="00CE1ED7" w:rsidP="00802957">
            <w:pPr>
              <w:tabs>
                <w:tab w:val="left" w:pos="-720"/>
              </w:tabs>
              <w:suppressAutoHyphens/>
              <w:rPr>
                <w:rFonts w:ascii="Arial" w:hAnsi="Arial" w:cs="Arial"/>
                <w:sz w:val="16"/>
                <w:szCs w:val="16"/>
                <w:highlight w:val="yellow"/>
                <w:lang w:val="fr-FR"/>
              </w:rPr>
            </w:pPr>
          </w:p>
        </w:tc>
      </w:tr>
    </w:tbl>
    <w:p w:rsidR="00B54E42" w:rsidRDefault="00B54E42">
      <w:bookmarkStart w:id="0" w:name="_GoBack"/>
      <w:bookmarkEnd w:id="0"/>
    </w:p>
    <w:sectPr w:rsidR="00B54E42" w:rsidSect="00CE14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Luminari"/>
    <w:charset w:val="00"/>
    <w:family w:val="swiss"/>
    <w:pitch w:val="variable"/>
    <w:sig w:usb0="E00082FF" w:usb1="400078FF" w:usb2="00000021" w:usb3="00000000" w:csb0="000001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9BE"/>
    <w:multiLevelType w:val="multilevel"/>
    <w:tmpl w:val="70E09B7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19C26C41"/>
    <w:multiLevelType w:val="multilevel"/>
    <w:tmpl w:val="A2B203C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2EDB353B"/>
    <w:multiLevelType w:val="hybridMultilevel"/>
    <w:tmpl w:val="A2A6442A"/>
    <w:lvl w:ilvl="0" w:tplc="040C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68C7574"/>
    <w:multiLevelType w:val="multilevel"/>
    <w:tmpl w:val="879E540C"/>
    <w:lvl w:ilvl="0">
      <w:numFmt w:val="bullet"/>
      <w:lvlText w:val="•"/>
      <w:lvlJc w:val="left"/>
      <w:pPr>
        <w:ind w:left="360" w:hanging="360"/>
      </w:pPr>
      <w:rPr>
        <w:rFonts w:ascii="Times New Roman" w:eastAsia="Times New Roman" w:hAnsi="Times New Roman" w:cs="Times New Roman"/>
        <w:color w:val="2B2B2B"/>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4">
    <w:nsid w:val="68EE481B"/>
    <w:multiLevelType w:val="hybridMultilevel"/>
    <w:tmpl w:val="D27ECB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3A7144C"/>
    <w:multiLevelType w:val="hybridMultilevel"/>
    <w:tmpl w:val="C48E0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ED7"/>
    <w:rsid w:val="00B54E42"/>
    <w:rsid w:val="00CE14B1"/>
    <w:rsid w:val="00CE1E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94B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D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1ED7"/>
    <w:rPr>
      <w:color w:val="0000FF"/>
      <w:u w:val="single"/>
    </w:rPr>
  </w:style>
  <w:style w:type="paragraph" w:customStyle="1" w:styleId="CharCharCharCharCharCharChar">
    <w:name w:val=" Char Char Char Char Char Char Char"/>
    <w:basedOn w:val="Normal"/>
    <w:rsid w:val="00CE1ED7"/>
    <w:pPr>
      <w:spacing w:before="120" w:after="160" w:line="240" w:lineRule="exact"/>
    </w:pPr>
    <w:rPr>
      <w:rFonts w:ascii="Verdana" w:hAnsi="Verdana" w:cs="Arial"/>
      <w:sz w:val="20"/>
      <w:szCs w:val="20"/>
      <w:lang w:val="en-US"/>
    </w:rPr>
  </w:style>
  <w:style w:type="paragraph" w:styleId="ListParagraph">
    <w:name w:val="List Paragraph"/>
    <w:basedOn w:val="Normal"/>
    <w:uiPriority w:val="34"/>
    <w:qFormat/>
    <w:rsid w:val="00CE1ED7"/>
    <w:pPr>
      <w:spacing w:after="160" w:line="259" w:lineRule="auto"/>
      <w:ind w:left="720"/>
      <w:contextualSpacing/>
    </w:pPr>
    <w:rPr>
      <w:rFonts w:ascii="Calibri" w:eastAsia="Calibri" w:hAnsi="Calibri" w:cs="Calibri"/>
      <w:sz w:val="22"/>
      <w:szCs w:val="22"/>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D7"/>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1ED7"/>
    <w:rPr>
      <w:color w:val="0000FF"/>
      <w:u w:val="single"/>
    </w:rPr>
  </w:style>
  <w:style w:type="paragraph" w:customStyle="1" w:styleId="CharCharCharCharCharCharChar">
    <w:name w:val=" Char Char Char Char Char Char Char"/>
    <w:basedOn w:val="Normal"/>
    <w:rsid w:val="00CE1ED7"/>
    <w:pPr>
      <w:spacing w:before="120" w:after="160" w:line="240" w:lineRule="exact"/>
    </w:pPr>
    <w:rPr>
      <w:rFonts w:ascii="Verdana" w:hAnsi="Verdana" w:cs="Arial"/>
      <w:sz w:val="20"/>
      <w:szCs w:val="20"/>
      <w:lang w:val="en-US"/>
    </w:rPr>
  </w:style>
  <w:style w:type="paragraph" w:styleId="ListParagraph">
    <w:name w:val="List Paragraph"/>
    <w:basedOn w:val="Normal"/>
    <w:uiPriority w:val="34"/>
    <w:qFormat/>
    <w:rsid w:val="00CE1ED7"/>
    <w:pPr>
      <w:spacing w:after="160" w:line="259" w:lineRule="auto"/>
      <w:ind w:left="720"/>
      <w:contextualSpacing/>
    </w:pPr>
    <w:rPr>
      <w:rFonts w:ascii="Calibri" w:eastAsia="Calibri" w:hAnsi="Calibri" w:cs="Calibri"/>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5507</Characters>
  <Application>Microsoft Macintosh Word</Application>
  <DocSecurity>0</DocSecurity>
  <Lines>45</Lines>
  <Paragraphs>12</Paragraphs>
  <ScaleCrop>false</ScaleCrop>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UNFPACGCOM</dc:creator>
  <cp:keywords/>
  <dc:description/>
  <cp:lastModifiedBy>UNFPACGCOM</cp:lastModifiedBy>
  <cp:revision>1</cp:revision>
  <dcterms:created xsi:type="dcterms:W3CDTF">2023-10-04T16:58:00Z</dcterms:created>
  <dcterms:modified xsi:type="dcterms:W3CDTF">2023-10-04T16:59:00Z</dcterms:modified>
</cp:coreProperties>
</file>